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“对照找差距、攻坚抓落实”组织生活会问题整改“三张清单”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  <w:t>（支部）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支部名称：中共宜城市人民法院党组第一支部                     2020年8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月17日</w:t>
      </w:r>
    </w:p>
    <w:tbl>
      <w:tblPr>
        <w:tblStyle w:val="3"/>
        <w:tblpPr w:leftFromText="180" w:rightFromText="180" w:vertAnchor="text" w:horzAnchor="page" w:tblpX="1608" w:tblpY="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4200"/>
        <w:gridCol w:w="3825"/>
        <w:gridCol w:w="3120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查摆问题清单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整改项目清单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落实结果清单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74F99"/>
    <w:rsid w:val="33A97FDB"/>
    <w:rsid w:val="5EB35E37"/>
    <w:rsid w:val="79A7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outlineLvl w:val="0"/>
    </w:pPr>
    <w:rPr>
      <w:rFonts w:ascii="Times New Roman" w:hAnsi="Times New Roman" w:eastAsia="方正小标宋简体" w:cs="Times New Roman"/>
      <w:bCs/>
      <w:kern w:val="0"/>
      <w:sz w:val="4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2019-12-17T12:42:00Z</dcterms:created>
  <dc:creator>Administrator</dc:creator>
  <cp:lastModifiedBy>面朝大海</cp:lastModifiedBy>
  <dcterms:modified xsi:type="dcterms:W3CDTF">2020-11-06T07:00:14Z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